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4466" w14:textId="77777777" w:rsidR="006E1BA9" w:rsidRDefault="007C38E0">
      <w:pPr>
        <w:pStyle w:val="Style3"/>
        <w:widowControl/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ЭКСПЕРТНОЕ ЗАКЛЮЧЕНИЕ</w:t>
      </w:r>
    </w:p>
    <w:p w14:paraId="5525AFC8" w14:textId="77777777" w:rsidR="006E1BA9" w:rsidRDefault="007C38E0">
      <w:pPr>
        <w:pStyle w:val="Style3"/>
        <w:widowControl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 возможности публикации в журнале </w:t>
      </w:r>
    </w:p>
    <w:p w14:paraId="21D56460" w14:textId="77777777" w:rsidR="006E1BA9" w:rsidRDefault="007C38E0">
      <w:pPr>
        <w:pStyle w:val="Style3"/>
        <w:widowControl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«Известия Саратовского университета. Новая серия. Серия: Филология. Журналистика»</w:t>
      </w:r>
    </w:p>
    <w:p w14:paraId="12786CC0" w14:textId="77777777" w:rsidR="006E1BA9" w:rsidRDefault="007C38E0">
      <w:pPr>
        <w:jc w:val="center"/>
      </w:pPr>
      <w:r>
        <w:t>статьи «</w:t>
      </w:r>
      <w:r>
        <w:rPr>
          <w:u w:color="FF0000"/>
        </w:rPr>
        <w:t>Вопрос переводимости британских социолектов (на примере социолекта “Posh” в прозе П. Г. Вудхауса)</w:t>
      </w:r>
      <w:r>
        <w:t>»</w:t>
      </w:r>
    </w:p>
    <w:p w14:paraId="30F0CC3B" w14:textId="77777777" w:rsidR="006E1BA9" w:rsidRDefault="006E1BA9">
      <w:pPr>
        <w:spacing w:line="240" w:lineRule="exact"/>
        <w:rPr>
          <w:b/>
          <w:bCs/>
        </w:rPr>
      </w:pPr>
    </w:p>
    <w:p w14:paraId="20D7BC0B" w14:textId="77777777" w:rsidR="006E1BA9" w:rsidRDefault="006E1BA9">
      <w:pPr>
        <w:spacing w:line="240" w:lineRule="exact"/>
        <w:rPr>
          <w:b/>
          <w:bCs/>
        </w:rPr>
      </w:pPr>
    </w:p>
    <w:tbl>
      <w:tblPr>
        <w:tblStyle w:val="TableNormal"/>
        <w:tblW w:w="92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2"/>
        <w:gridCol w:w="2328"/>
        <w:gridCol w:w="6451"/>
      </w:tblGrid>
      <w:tr w:rsidR="006E1BA9" w14:paraId="2B588FFB" w14:textId="77777777">
        <w:trPr>
          <w:trHeight w:val="494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5A5DA" w14:textId="77777777" w:rsidR="006E1BA9" w:rsidRDefault="007C38E0">
            <w:pPr>
              <w:spacing w:line="240" w:lineRule="exact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843FB" w14:textId="77777777" w:rsidR="006E1BA9" w:rsidRDefault="007C38E0">
            <w:pPr>
              <w:spacing w:line="240" w:lineRule="exact"/>
              <w:jc w:val="center"/>
            </w:pPr>
            <w:r>
              <w:rPr>
                <w:b/>
                <w:bCs/>
              </w:rPr>
              <w:t>Аспект рассмотрения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4DF56" w14:textId="77777777" w:rsidR="006E1BA9" w:rsidRDefault="007C38E0">
            <w:pPr>
              <w:spacing w:line="240" w:lineRule="exact"/>
              <w:jc w:val="center"/>
            </w:pPr>
            <w:r>
              <w:rPr>
                <w:b/>
                <w:bCs/>
              </w:rPr>
              <w:t>Комментарий</w:t>
            </w:r>
          </w:p>
        </w:tc>
      </w:tr>
      <w:tr w:rsidR="006E1BA9" w14:paraId="1ED857D2" w14:textId="77777777">
        <w:trPr>
          <w:trHeight w:val="2894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84A53" w14:textId="77777777" w:rsidR="006E1BA9" w:rsidRDefault="007C38E0">
            <w:pPr>
              <w:spacing w:line="240" w:lineRule="exact"/>
            </w:pPr>
            <w:r>
              <w:t>1.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8508F" w14:textId="77777777" w:rsidR="006E1BA9" w:rsidRDefault="007C38E0">
            <w:pPr>
              <w:spacing w:line="240" w:lineRule="exact"/>
              <w:jc w:val="both"/>
            </w:pPr>
            <w:r>
              <w:t>Научная новизна</w:t>
            </w:r>
            <w:r>
              <w:rPr>
                <w:lang w:val="en-US"/>
              </w:rPr>
              <w:t xml:space="preserve"> </w:t>
            </w:r>
            <w:r>
              <w:t>и значимость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741EA" w14:textId="6E0BAED2" w:rsidR="006E1BA9" w:rsidRDefault="007C38E0" w:rsidP="009A4300">
            <w:pPr>
              <w:spacing w:line="240" w:lineRule="exact"/>
              <w:jc w:val="both"/>
            </w:pPr>
            <w:r w:rsidRPr="00AB710F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Научная новизна работы вызывает сомнения, поскольку принципиально новых лексических маркеров британского социолекта «</w:t>
            </w: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Posh</w:t>
            </w:r>
            <w:r w:rsidRPr="00AB710F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» автором выявлено не было: весь блок, посвященный лексическим особенностям анализируемого социолекта, представляет собой пересказ одной из глав книги британского социального антрополога Кейт Фокс «</w:t>
            </w: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Watching</w:t>
            </w:r>
            <w:r w:rsidRPr="00AB710F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the</w:t>
            </w:r>
            <w:r w:rsidRPr="00AB710F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English</w:t>
            </w:r>
            <w:r w:rsidRPr="00AB710F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», причем данная книга не является сугубо научным трудом. Выводы о невозможности эквивалентного перевода социолектных маркированных единиц и необходимости ввода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параметра адекватности перевода</w:t>
            </w:r>
            <w:r w:rsidRPr="00AB710F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также не отличаются научной новизной.</w:t>
            </w:r>
          </w:p>
        </w:tc>
      </w:tr>
      <w:tr w:rsidR="006E1BA9" w14:paraId="14A84256" w14:textId="77777777">
        <w:trPr>
          <w:trHeight w:val="4814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D466" w14:textId="77777777" w:rsidR="006E1BA9" w:rsidRDefault="007C38E0">
            <w:pPr>
              <w:spacing w:line="240" w:lineRule="exact"/>
            </w:pPr>
            <w:r>
              <w:t>2.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4756" w14:textId="77777777" w:rsidR="006E1BA9" w:rsidRDefault="007C38E0">
            <w:pPr>
              <w:spacing w:line="240" w:lineRule="exact"/>
            </w:pPr>
            <w:r>
              <w:t>Уровень аналитического осмысления материала, убедительность авторской идеи, соотнесенность цели и выводов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98DD" w14:textId="513EA8CC" w:rsidR="006E1BA9" w:rsidRDefault="007C38E0" w:rsidP="009A4300">
            <w:pPr>
              <w:spacing w:line="240" w:lineRule="exact"/>
              <w:jc w:val="both"/>
            </w:pPr>
            <w:r>
              <w:t>Цель, поставленная автором, в ходе работы не достигнута, поскольку лексические особенности социолекта «</w:t>
            </w:r>
            <w:r>
              <w:rPr>
                <w:lang w:val="en-US"/>
              </w:rPr>
              <w:t>Posh</w:t>
            </w:r>
            <w:r w:rsidRPr="00AB710F">
              <w:t xml:space="preserve">» </w:t>
            </w:r>
            <w:r>
              <w:t>не исчерпываются «семью смертными грехами</w:t>
            </w:r>
            <w:r>
              <w:rPr>
                <w:lang w:val="it-IT"/>
              </w:rPr>
              <w:t>» в речи аристократов</w:t>
            </w:r>
            <w:r>
              <w:t>, приводимыми автором. Более того, уровень анализа этих «семи смертных грехов» в прозе П. Г. Вудхауса низкий: автор приводит количественные данные относительно частотности употребления той или иной лексемы в романе «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Right Ho, Jeeves», но исследовательский комментарий при этом практически отсутствует. Два «греха» из семи вообще не встретились в исследуемом романе, однако автор считает возможным делать выводы об особенностях социолекта «</w:t>
            </w: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Posh</w:t>
            </w:r>
            <w:r w:rsidRPr="009A4300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»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работах П. Г. Вудхауса. Результаты анализа переводимости социолектных единиц </w:t>
            </w:r>
            <w:r>
              <w:t>сводятся к тому, что переводчики не всегда корректно переводят некоторые лексемы, хотя конкретных примеров приведено лишь несколько, что не позволяет делать глобальных выводов об особенностях перевода социолектных единиц. Четких выводов о том, какой именно перевод «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Right Ho, Jeeves» отвечает требованиям адекватного перевода представлено также не было.</w:t>
            </w:r>
          </w:p>
        </w:tc>
      </w:tr>
      <w:tr w:rsidR="006E1BA9" w14:paraId="1C7E1382" w14:textId="77777777">
        <w:trPr>
          <w:trHeight w:val="2654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8E06" w14:textId="77777777" w:rsidR="006E1BA9" w:rsidRDefault="007C38E0">
            <w:pPr>
              <w:spacing w:line="240" w:lineRule="exact"/>
            </w:pPr>
            <w:r>
              <w:t>3.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392B" w14:textId="77777777" w:rsidR="006E1BA9" w:rsidRDefault="007C38E0">
            <w:pPr>
              <w:spacing w:line="240" w:lineRule="exact"/>
            </w:pPr>
            <w:r>
              <w:t>Четкость структуры, логика и стиль изложения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C2147" w14:textId="4FFC03FC" w:rsidR="006E1BA9" w:rsidRDefault="007C38E0">
            <w:pPr>
              <w:spacing w:line="240" w:lineRule="exact"/>
              <w:jc w:val="both"/>
            </w:pPr>
            <w:r>
              <w:t xml:space="preserve">Структура и логика работы не отвечают требованиям для статей, публикуемых в изданиях, рецензируемых ВАК. Так, значительная часть работы посвящена отдельным теоретическим аспектам социолекта и переводимости социолектных единиц. Даже основная часть статьи, которая должна иметь практическую направленность, перенасыщена </w:t>
            </w:r>
            <w:r w:rsidR="009A4300">
              <w:t xml:space="preserve">избыточными </w:t>
            </w:r>
            <w:r>
              <w:t xml:space="preserve">вставками. Например, биографическая справка о П. Г. Вудхаусе никак не влияет на суть статьи. </w:t>
            </w:r>
          </w:p>
          <w:p w14:paraId="0E4587F9" w14:textId="77777777" w:rsidR="006E1BA9" w:rsidRDefault="007C38E0">
            <w:pPr>
              <w:spacing w:line="240" w:lineRule="exact"/>
              <w:jc w:val="both"/>
            </w:pPr>
            <w:r>
              <w:t>Логические и структурные связи между смысловыми блоками нечеткие. Выводы после каждого смыслового блока сформулированы не всегда.</w:t>
            </w:r>
          </w:p>
        </w:tc>
      </w:tr>
      <w:tr w:rsidR="006E1BA9" w14:paraId="6A617714" w14:textId="77777777">
        <w:trPr>
          <w:trHeight w:val="2894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F109C" w14:textId="77777777" w:rsidR="006E1BA9" w:rsidRDefault="007C38E0">
            <w:pPr>
              <w:spacing w:line="240" w:lineRule="exact"/>
            </w:pPr>
            <w:r>
              <w:lastRenderedPageBreak/>
              <w:t>4.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F4DB" w14:textId="77777777" w:rsidR="006E1BA9" w:rsidRDefault="007C38E0">
            <w:pPr>
              <w:spacing w:line="240" w:lineRule="exact"/>
            </w:pPr>
            <w:r>
              <w:t>Качество названия, аннотации и списка литературы (учет публикаций по теме в научных журналах за последние 5 лет, обоснованность самоцитирования), необходимость соавторства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A5AA3" w14:textId="77777777" w:rsidR="006E1BA9" w:rsidRDefault="007C38E0">
            <w:pPr>
              <w:spacing w:line="240" w:lineRule="exact"/>
              <w:jc w:val="both"/>
            </w:pPr>
            <w:r>
              <w:t xml:space="preserve">В названии статьи заявлено, что исследование проводилось на материале прозы П. Г. Вудхауса, хотя в работе приведен анализ исключительно одного романа П. Г. Вудхауса, «Right Ho, Jeeves». Таким образом, название статьи не вполне отражает ее содержание. </w:t>
            </w:r>
          </w:p>
          <w:p w14:paraId="6CF3FA53" w14:textId="77777777" w:rsidR="006E1BA9" w:rsidRDefault="007C38E0">
            <w:pPr>
              <w:spacing w:line="240" w:lineRule="exact"/>
              <w:jc w:val="both"/>
            </w:pPr>
            <w:r>
              <w:t xml:space="preserve">Аннотация не отвечает требованиям жанра. </w:t>
            </w:r>
          </w:p>
          <w:p w14:paraId="66D73D8F" w14:textId="46F3D9A2" w:rsidR="006E1BA9" w:rsidRDefault="007C38E0" w:rsidP="00412A9F">
            <w:pPr>
              <w:spacing w:line="240" w:lineRule="exact"/>
              <w:jc w:val="both"/>
            </w:pPr>
            <w:r>
              <w:t>Из 15 наименований в списке литературы 3 – оригинальный текст романа «Right Ho, Jeeves» и два его перевода, что неприемлемо для научной статьи. Число работ, опубликованных за последние пять лет – 2, причем автор является соавтором одной из них. Обоснованность самоцитирования спорная.</w:t>
            </w:r>
          </w:p>
        </w:tc>
      </w:tr>
      <w:tr w:rsidR="006E1BA9" w14:paraId="1D3FAC28" w14:textId="77777777">
        <w:trPr>
          <w:trHeight w:val="2654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23C31" w14:textId="77777777" w:rsidR="006E1BA9" w:rsidRDefault="007C38E0">
            <w:pPr>
              <w:spacing w:line="240" w:lineRule="exact"/>
            </w:pPr>
            <w:r>
              <w:t>5.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FC4B" w14:textId="77777777" w:rsidR="006E1BA9" w:rsidRDefault="007C38E0">
            <w:pPr>
              <w:spacing w:line="240" w:lineRule="exact"/>
            </w:pPr>
            <w:r>
              <w:t>Дополнительные замечания и рекомендации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A9095" w14:textId="77777777" w:rsidR="006E1BA9" w:rsidRDefault="007C38E0">
            <w:pPr>
              <w:spacing w:line="240" w:lineRule="exact"/>
              <w:jc w:val="both"/>
            </w:pPr>
            <w:r>
              <w:t>1) Вызывает вопросы, почему автор называет «Right Ho, Jeeves» повестью, хотя и по объему, и по содержанию это роман.</w:t>
            </w:r>
          </w:p>
          <w:p w14:paraId="4949549B" w14:textId="799BAB93" w:rsidR="006E1BA9" w:rsidRDefault="007C38E0" w:rsidP="00412A9F">
            <w:pPr>
              <w:spacing w:line="240" w:lineRule="exact"/>
              <w:jc w:val="both"/>
            </w:pPr>
            <w:r>
              <w:t xml:space="preserve">2) Обилие прямых цитат в статье </w:t>
            </w:r>
            <w:r w:rsidR="00412A9F">
              <w:t xml:space="preserve">не всегда </w:t>
            </w:r>
            <w:r>
              <w:t>оправдано. Кроме того, некоторые цитаты приведены из англоязычных публикаций, но на русском языке. Вероятно, в данном случае автору необходимо пояс</w:t>
            </w:r>
            <w:r w:rsidR="00412A9F">
              <w:t>нить, кем выполнен перевод</w:t>
            </w:r>
            <w:r>
              <w:t>, и, возможно, привести и оригинальную цитату, если в цитировании есть необходимость.</w:t>
            </w:r>
          </w:p>
        </w:tc>
      </w:tr>
      <w:tr w:rsidR="006E1BA9" w14:paraId="28F76F3F" w14:textId="77777777">
        <w:trPr>
          <w:trHeight w:val="254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C38F3" w14:textId="77777777" w:rsidR="006E1BA9" w:rsidRDefault="007C38E0">
            <w:pPr>
              <w:spacing w:line="240" w:lineRule="exact"/>
            </w:pPr>
            <w:r>
              <w:t>6.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18185" w14:textId="77777777" w:rsidR="006E1BA9" w:rsidRDefault="007C38E0">
            <w:pPr>
              <w:spacing w:line="240" w:lineRule="exact"/>
              <w:jc w:val="both"/>
            </w:pPr>
            <w:r>
              <w:t>Заключение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8A7B" w14:textId="77777777" w:rsidR="006E1BA9" w:rsidRPr="00412A9F" w:rsidRDefault="007C38E0">
            <w:pPr>
              <w:spacing w:line="240" w:lineRule="exact"/>
              <w:rPr>
                <w:rFonts w:cs="Times New Roman"/>
              </w:rPr>
            </w:pPr>
            <w:r w:rsidRPr="00412A9F">
              <w:rPr>
                <w:rFonts w:cs="Times New Roman"/>
              </w:rPr>
              <w:t>Р</w:t>
            </w:r>
            <w:r w:rsidRPr="00412A9F">
              <w:rPr>
                <w:rFonts w:cs="Times New Roman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екомендую отклонить статью.</w:t>
            </w:r>
          </w:p>
        </w:tc>
      </w:tr>
    </w:tbl>
    <w:p w14:paraId="37738034" w14:textId="77777777" w:rsidR="006E1BA9" w:rsidRDefault="006E1BA9">
      <w:pPr>
        <w:widowControl w:val="0"/>
        <w:ind w:left="108" w:hanging="108"/>
        <w:jc w:val="center"/>
        <w:rPr>
          <w:b/>
          <w:bCs/>
        </w:rPr>
      </w:pPr>
    </w:p>
    <w:p w14:paraId="650A2D32" w14:textId="77777777" w:rsidR="006E1BA9" w:rsidRDefault="006E1BA9">
      <w:pPr>
        <w:widowControl w:val="0"/>
        <w:jc w:val="center"/>
        <w:rPr>
          <w:b/>
          <w:bCs/>
        </w:rPr>
      </w:pPr>
    </w:p>
    <w:p w14:paraId="5274BCFE" w14:textId="77777777" w:rsidR="006E1BA9" w:rsidRDefault="006E1BA9">
      <w:pPr>
        <w:spacing w:line="240" w:lineRule="exact"/>
      </w:pPr>
    </w:p>
    <w:p w14:paraId="63833057" w14:textId="77777777" w:rsidR="006E1BA9" w:rsidRDefault="006E1BA9">
      <w:pPr>
        <w:spacing w:line="240" w:lineRule="exact"/>
      </w:pPr>
    </w:p>
    <w:p w14:paraId="3AE2722A" w14:textId="77777777" w:rsidR="006E1BA9" w:rsidRDefault="006E1BA9">
      <w:pPr>
        <w:widowControl w:val="0"/>
        <w:spacing w:before="29"/>
        <w:ind w:left="108" w:hanging="108"/>
      </w:pPr>
    </w:p>
    <w:p w14:paraId="1C429911" w14:textId="77777777" w:rsidR="006E1BA9" w:rsidRDefault="006E1BA9">
      <w:pPr>
        <w:widowControl w:val="0"/>
        <w:spacing w:before="29"/>
      </w:pPr>
      <w:bookmarkStart w:id="0" w:name="_GoBack"/>
      <w:bookmarkEnd w:id="0"/>
    </w:p>
    <w:p w14:paraId="41F6D28E" w14:textId="77777777" w:rsidR="006E1BA9" w:rsidRDefault="006E1BA9">
      <w:pPr>
        <w:spacing w:line="240" w:lineRule="exact"/>
        <w:jc w:val="both"/>
      </w:pPr>
    </w:p>
    <w:sectPr w:rsidR="006E1BA9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AEE91" w14:textId="77777777" w:rsidR="00DF2AA5" w:rsidRDefault="00DF2AA5">
      <w:r>
        <w:separator/>
      </w:r>
    </w:p>
  </w:endnote>
  <w:endnote w:type="continuationSeparator" w:id="0">
    <w:p w14:paraId="3A7DAD8C" w14:textId="77777777" w:rsidR="00DF2AA5" w:rsidRDefault="00DF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79F9B" w14:textId="77777777" w:rsidR="006E1BA9" w:rsidRDefault="006E1B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E0A1E" w14:textId="77777777" w:rsidR="00DF2AA5" w:rsidRDefault="00DF2AA5">
      <w:r>
        <w:separator/>
      </w:r>
    </w:p>
  </w:footnote>
  <w:footnote w:type="continuationSeparator" w:id="0">
    <w:p w14:paraId="4AC8B2F8" w14:textId="77777777" w:rsidR="00DF2AA5" w:rsidRDefault="00DF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9F4E8" w14:textId="77777777" w:rsidR="006E1BA9" w:rsidRDefault="006E1B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A9"/>
    <w:rsid w:val="00412A9F"/>
    <w:rsid w:val="006E1BA9"/>
    <w:rsid w:val="007C38E0"/>
    <w:rsid w:val="009A4300"/>
    <w:rsid w:val="00AB710F"/>
    <w:rsid w:val="00D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53D"/>
  <w15:docId w15:val="{5F514B8D-611B-4CFB-8D33-A8EE001B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3">
    <w:name w:val="Style3"/>
    <w:pPr>
      <w:widowControl w:val="0"/>
      <w:spacing w:line="276" w:lineRule="exact"/>
      <w:jc w:val="both"/>
    </w:pPr>
    <w:rPr>
      <w:rFonts w:ascii="Arial" w:hAnsi="Arial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Ирина</cp:lastModifiedBy>
  <cp:revision>3</cp:revision>
  <dcterms:created xsi:type="dcterms:W3CDTF">2024-05-09T04:14:00Z</dcterms:created>
  <dcterms:modified xsi:type="dcterms:W3CDTF">2024-05-09T04:16:00Z</dcterms:modified>
</cp:coreProperties>
</file>